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1600" w:rsidRPr="00B52982" w:rsidRDefault="00611600" w:rsidP="00611600">
      <w:pPr>
        <w:shd w:val="clear" w:color="auto" w:fill="FFFFFF"/>
        <w:spacing w:before="150" w:after="150" w:line="450" w:lineRule="atLeast"/>
        <w:jc w:val="center"/>
        <w:outlineLvl w:val="0"/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</w:pPr>
      <w:r w:rsidRPr="00B52982"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  <w:fldChar w:fldCharType="begin"/>
      </w:r>
      <w:r w:rsidRPr="00B52982"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  <w:instrText xml:space="preserve"> HYPERLINK "https://www.liteiny79.spb.ru/mchs/2613-bezopasnost-na-vodnux-obektax-lodka" </w:instrText>
      </w:r>
      <w:r w:rsidRPr="00B52982"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  <w:fldChar w:fldCharType="separate"/>
      </w:r>
      <w:r w:rsidRPr="00B52982"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  <w:t>Памятка по мерам безопасности на воде с использованием маломерных судов и плавсредств</w:t>
      </w:r>
      <w:r w:rsidRPr="00B52982">
        <w:rPr>
          <w:rFonts w:ascii="Arial Narrow" w:eastAsia="Times New Roman" w:hAnsi="Arial Narrow" w:cs="Helvetica"/>
          <w:b/>
          <w:color w:val="961010"/>
          <w:kern w:val="36"/>
          <w:sz w:val="56"/>
          <w:szCs w:val="56"/>
          <w:lang w:eastAsia="ru-RU"/>
        </w:rPr>
        <w:fldChar w:fldCharType="end"/>
      </w:r>
    </w:p>
    <w:bookmarkEnd w:id="0"/>
    <w:p w:rsidR="00611600" w:rsidRPr="00611600" w:rsidRDefault="00B52982" w:rsidP="00611600">
      <w:pPr>
        <w:shd w:val="clear" w:color="auto" w:fill="FFFFFF"/>
        <w:spacing w:after="0" w:line="240" w:lineRule="auto"/>
        <w:textAlignment w:val="center"/>
        <w:rPr>
          <w:rFonts w:ascii="Arial Narrow" w:eastAsia="Times New Roman" w:hAnsi="Arial Narrow" w:cs="Helvetica"/>
          <w:b/>
          <w:color w:val="474747"/>
          <w:sz w:val="2"/>
          <w:szCs w:val="2"/>
          <w:lang w:eastAsia="ru-RU"/>
        </w:rPr>
      </w:pPr>
      <w:r>
        <w:fldChar w:fldCharType="begin"/>
      </w:r>
      <w:r>
        <w:instrText xml:space="preserve"> HYPERLINK "https://www.liteiny79.spb.ru/mchs/2613-bezopasnost-na-vodnux-obektax-lodka" </w:instrText>
      </w:r>
      <w:r>
        <w:fldChar w:fldCharType="separate"/>
      </w:r>
      <w:r w:rsidR="00611600" w:rsidRPr="00611600">
        <w:rPr>
          <w:rFonts w:ascii="Arial Narrow" w:eastAsia="Times New Roman" w:hAnsi="Arial Narrow" w:cs="Helvetica"/>
          <w:b/>
          <w:color w:val="333333"/>
          <w:sz w:val="21"/>
          <w:szCs w:val="21"/>
          <w:bdr w:val="single" w:sz="6" w:space="3" w:color="CCCCCC" w:frame="1"/>
          <w:lang w:eastAsia="ru-RU"/>
        </w:rPr>
        <w:t> </w:t>
      </w:r>
      <w:r>
        <w:rPr>
          <w:rFonts w:ascii="Arial Narrow" w:eastAsia="Times New Roman" w:hAnsi="Arial Narrow" w:cs="Helvetica"/>
          <w:b/>
          <w:color w:val="333333"/>
          <w:sz w:val="21"/>
          <w:szCs w:val="21"/>
          <w:bdr w:val="single" w:sz="6" w:space="3" w:color="CCCCCC" w:frame="1"/>
          <w:lang w:eastAsia="ru-RU"/>
        </w:rPr>
        <w:fldChar w:fldCharType="end"/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Helvetica" w:eastAsia="Times New Roman" w:hAnsi="Helvetica" w:cs="Helvetica"/>
          <w:noProof/>
          <w:color w:val="474747"/>
          <w:sz w:val="21"/>
          <w:szCs w:val="21"/>
          <w:lang w:eastAsia="ru-RU"/>
        </w:rPr>
        <w:drawing>
          <wp:inline distT="0" distB="0" distL="0" distR="0" wp14:anchorId="494379E7" wp14:editId="3CA87ED1">
            <wp:extent cx="3489960" cy="1813560"/>
            <wp:effectExtent l="0" t="0" r="0" b="0"/>
            <wp:docPr id="1" name="Рисунок 1" descr="bezopasnost lo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nost lod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 xml:space="preserve">Памятка по мерам безопасности на воде с использованием маломерных судов и плавсредств. Меры безопасности при использовании </w:t>
      </w:r>
      <w:proofErr w:type="gramStart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маломерных</w:t>
      </w:r>
      <w:proofErr w:type="gramEnd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 xml:space="preserve"> плавсредств: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Все находящиеся на плавсредстве должны надеть (иметь) спасательные жилеты.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 любой ситуации все обязаны командиру плавсредства, а в его отсутствии старшему по должности или возрасту и выполнять его распоряжения.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proofErr w:type="gramStart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 экстремальной ситуации старший на терпящем бедствие плавсредстве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плавсредстве, согласно законодательства, переходят в категорию «Экипаж» и более не разделяются на пассажиров и команду).</w:t>
      </w:r>
      <w:proofErr w:type="gramEnd"/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lastRenderedPageBreak/>
        <w:t>• Не допускается движение в несколько рядов, за исключением проведения спортивных состязаний и водных праздников.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При прохождении мест купания необходимо быть осторожным, чтобы не нанести травму купающимся.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Запрещено: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При посадке вставать на борта и сидения.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Перегружать плавсредство.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Выход плавсредств при силе ветра более 10 м/с баллов, а на незначительных водоемах, свыше 15 м/</w:t>
      </w:r>
      <w:proofErr w:type="gramStart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с</w:t>
      </w:r>
      <w:proofErr w:type="gramEnd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proofErr w:type="gramStart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Ответственность за обеспечение безопасности при плавании на любых плавсредствах возлагается на капитанов судов, командиров шлюпок и руководителей организаций, проводящих мероприятия на воде, а так же владельцев плавсредств, которые обязаны строго соблюдать требования правил поведения и мер безопасности.)</w:t>
      </w:r>
      <w:proofErr w:type="gramEnd"/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Во время движения выставлять руки и перевешиваться за борт, сидеть на бортах, переходить на место, пересаживаться в другие плавсредства.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При катании на водном велосипеде допускать спуск людей с сиденья на корпус велосипеда.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Пользоваться плавсредствами детям до 16 лет без сопровождения взрослых, а так же лицам, не достигшим 7 лет.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Плавание ночью, в тумане и в условиях, при которых возможна потеря ориентации.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Нахождение маломерных плавсредств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lastRenderedPageBreak/>
        <w:t>• Категорически запрещено пользоваться плавсредствами лицам в нетрезвом состоянии. При большом волнении нужно: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Носом лодки резать волну, нельзя оставлять борт перпендикулярно волне, т.к. лодка может опрокинуться.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Принимать пострадавшего на борт необходимо только с кормы, с бортов - категорически запрещается, т.к., это чревато переворотом маломерного плавсредства, а со стороны носа поднимать человека не всегда удобно.</w:t>
      </w:r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proofErr w:type="gramStart"/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При падении человека за борт на судне подаются три продолжительных звуковых сигнала, длительность которых определена от 4 до 6 секунд.</w:t>
      </w:r>
      <w:proofErr w:type="gramEnd"/>
    </w:p>
    <w:p w:rsidR="00611600" w:rsidRPr="00611600" w:rsidRDefault="00611600" w:rsidP="00611600">
      <w:pPr>
        <w:shd w:val="clear" w:color="auto" w:fill="FFFFFF"/>
        <w:spacing w:after="270" w:line="375" w:lineRule="atLeast"/>
        <w:jc w:val="both"/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</w:pPr>
      <w:r w:rsidRPr="00611600">
        <w:rPr>
          <w:rFonts w:ascii="Arial Narrow" w:eastAsia="Times New Roman" w:hAnsi="Arial Narrow" w:cs="Helvetica"/>
          <w:color w:val="474747"/>
          <w:sz w:val="32"/>
          <w:szCs w:val="32"/>
          <w:lang w:eastAsia="ru-RU"/>
        </w:rPr>
        <w:t>• Купание на любых плавсредствах детям до 16 лет разрешается только под руководством взрослых и при их участии. При эксплуатации моторных лодок и катеров правила и меры безопасности аналогичны требованиям использования гребных и парусных плавсредств.</w:t>
      </w:r>
    </w:p>
    <w:p w:rsidR="00190D68" w:rsidRPr="00611600" w:rsidRDefault="00190D68">
      <w:pPr>
        <w:rPr>
          <w:rFonts w:ascii="Arial Narrow" w:hAnsi="Arial Narrow"/>
          <w:sz w:val="32"/>
          <w:szCs w:val="32"/>
        </w:rPr>
      </w:pPr>
    </w:p>
    <w:p w:rsidR="00611600" w:rsidRPr="00611600" w:rsidRDefault="00611600">
      <w:pPr>
        <w:rPr>
          <w:rFonts w:ascii="Arial Narrow" w:hAnsi="Arial Narrow"/>
          <w:sz w:val="32"/>
          <w:szCs w:val="32"/>
        </w:rPr>
      </w:pPr>
    </w:p>
    <w:sectPr w:rsidR="00611600" w:rsidRPr="0061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A"/>
    <w:rsid w:val="00190D68"/>
    <w:rsid w:val="0053169A"/>
    <w:rsid w:val="00611600"/>
    <w:rsid w:val="00B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2023-08-15T06:34:00Z</dcterms:created>
  <dcterms:modified xsi:type="dcterms:W3CDTF">2023-08-15T07:22:00Z</dcterms:modified>
</cp:coreProperties>
</file>