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DFC1" w14:textId="77777777" w:rsidR="00DD4641" w:rsidRDefault="00000000">
      <w:pPr>
        <w:pStyle w:val="1"/>
        <w:widowControl/>
        <w:overflowPunct/>
        <w:spacing w:before="150" w:line="276" w:lineRule="auto"/>
        <w:ind w:firstLine="737"/>
        <w:jc w:val="both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У беды нет выходных: не забывайте о правилах пожарной безопасности</w:t>
      </w:r>
    </w:p>
    <w:p w14:paraId="6E99C2A8" w14:textId="77777777" w:rsidR="00DD4641" w:rsidRDefault="00DD4641">
      <w:pPr>
        <w:pStyle w:val="a2"/>
        <w:widowControl/>
        <w:spacing w:line="390" w:lineRule="atLeast"/>
        <w:rPr>
          <w:rFonts w:ascii="inherit" w:hAnsi="inherit"/>
          <w:color w:val="276CC3"/>
          <w:sz w:val="21"/>
        </w:rPr>
      </w:pPr>
    </w:p>
    <w:p w14:paraId="1BCD952E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С 1 января по 1 июля 2024 года на подконтрольной территории ОНД и ПР                     (по городам Пыть-Ях, Нефтеюганск и Нефтеюганскому району) зарегистрировано 124 пожаров, 2 человека погибло, 2 человека травмировано, материальный ущерб составил 7 млн. 600 тыс.</w:t>
      </w:r>
    </w:p>
    <w:p w14:paraId="38E0B9C9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 xml:space="preserve">В сравнении с аналогичным периодом прошлого года (далее – АППГ) отмечается: количество пожаров уменьшилось (2023 г. – 135 пожаров). Количество погибших людей уменьшилось на 75% (2023 г. – 8 человек). Количество травмированных людей уменьшилось (2023 г. – 4 человека), материальный ущерб снизился на 25,4% (2023 г. – 10 млн. 187 тыс. 733 руб.). </w:t>
      </w:r>
    </w:p>
    <w:p w14:paraId="20443714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Количество пожаров в жилье увеличилось на 36,1% (2023 г. - 36 пожаров). Количество людей погибших в жилье уменьшилось на 71,4% (2023 г. - 7 человек). Количество травмированных людей в жилье уменьшилось на 75 % (2023 г. 4 человека).</w:t>
      </w:r>
    </w:p>
    <w:p w14:paraId="7401B2AF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Традиционно в выходные и праздничные дни увеличивается количество пожаров и происшествий. Находясь на отдыхе, нередко под влиянием алкоголя, люди теряют бдительность, что может приводить к печальным последствиям.</w:t>
      </w:r>
    </w:p>
    <w:p w14:paraId="0030DB2A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Как правило, основными причинами пожаров становятся: неосторожное обращение с огнём, неосторожность при курении и нарушение правил пожарной безопасности при эксплуатации электрооборудования и печей.</w:t>
      </w:r>
    </w:p>
    <w:p w14:paraId="6D5489D6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Неосторожное обращение с огнём при курении является одной из наиболее распространенных причин пожаров. Такие пожары происходят в жилых домах, квартирах, бытовых, общественных и складских помещениях и зачастую приводят к гибели людей.</w:t>
      </w:r>
    </w:p>
    <w:p w14:paraId="5F38BDB2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Еще одна причина пожаров – короткое замыкание электропроводки. Не перегружайте электросеть и не оставляйте без присмотра включенные электроприборы.</w:t>
      </w:r>
    </w:p>
    <w:p w14:paraId="1ED22D8F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Опасность представляет и печное отопление, если не соблюдать правила пожарной безопасности при его эксплуатации. Поэтому заблаговременно проверяйте исправность печи и дымохода, не используйте легковоспламеняющиеся жидкости при разжигании печи, не оставляйте топящуюся печь без присмотра. И помните, что топку печи должен осуществлять только взрослый человек. Доверять эту работу детям – опасно!</w:t>
      </w:r>
    </w:p>
    <w:p w14:paraId="002A7CE7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lastRenderedPageBreak/>
        <w:t>Внимательно относитесь и к правилам эксплуатации газового оборудования: регулярно проверяйте тягу и проветривайте помещения. Помните, что при работающей газовой плите или газовой колонке окно должно быть приоткрыто. И ни в коем случае не используйте газовую плиту для обогрева!</w:t>
      </w:r>
    </w:p>
    <w:p w14:paraId="79065500" w14:textId="77777777" w:rsidR="00DD4641" w:rsidRDefault="00000000">
      <w:pPr>
        <w:pStyle w:val="a2"/>
        <w:widowControl/>
        <w:overflowPunct/>
        <w:spacing w:after="300" w:line="390" w:lineRule="atLeast"/>
        <w:ind w:firstLine="737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Позаботьтесь и о безопасности своих детей. Как можно чаще напоминайте им об опасности игры с огнём. Научите детей правильно пользоваться бытовыми электроприборами. И главное – не оставляйте без присмотра, особенно малышей! Помните, именно вы в ответе за жизнь своего ребенка!</w:t>
      </w:r>
    </w:p>
    <w:p w14:paraId="02F7CBDA" w14:textId="77777777" w:rsidR="00DD4641" w:rsidRDefault="00000000">
      <w:pPr>
        <w:pStyle w:val="a2"/>
        <w:widowControl/>
        <w:spacing w:line="390" w:lineRule="atLeast"/>
        <w:jc w:val="center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При возникновении чрезвычайных ситуаций необходимо звонить</w:t>
      </w:r>
    </w:p>
    <w:p w14:paraId="77542CCE" w14:textId="77777777" w:rsidR="00DD4641" w:rsidRDefault="00000000">
      <w:pPr>
        <w:pStyle w:val="a2"/>
        <w:widowControl/>
        <w:spacing w:line="390" w:lineRule="atLeast"/>
        <w:jc w:val="center"/>
        <w:rPr>
          <w:rFonts w:ascii="Times New Roman" w:hAnsi="Times New Roman"/>
          <w:color w:val="0C0C0C"/>
          <w:sz w:val="26"/>
          <w:szCs w:val="26"/>
        </w:rPr>
      </w:pPr>
      <w:r>
        <w:rPr>
          <w:rFonts w:ascii="Times New Roman" w:hAnsi="Times New Roman"/>
          <w:color w:val="0C0C0C"/>
          <w:sz w:val="26"/>
          <w:szCs w:val="26"/>
        </w:rPr>
        <w:t>по единому телефону «101», «01»</w:t>
      </w:r>
    </w:p>
    <w:sectPr w:rsidR="00DD4641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C764" w14:textId="77777777" w:rsidR="00D67E33" w:rsidRDefault="00D67E33">
      <w:r>
        <w:separator/>
      </w:r>
    </w:p>
  </w:endnote>
  <w:endnote w:type="continuationSeparator" w:id="0">
    <w:p w14:paraId="09C10018" w14:textId="77777777" w:rsidR="00D67E33" w:rsidRDefault="00D6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inherit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CDCC" w14:textId="77777777" w:rsidR="00DD4641" w:rsidRDefault="00DD4641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C9D1" w14:textId="77777777" w:rsidR="00D67E33" w:rsidRDefault="00D67E33">
      <w:r>
        <w:separator/>
      </w:r>
    </w:p>
  </w:footnote>
  <w:footnote w:type="continuationSeparator" w:id="0">
    <w:p w14:paraId="718CA60C" w14:textId="77777777" w:rsidR="00D67E33" w:rsidRDefault="00D6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D042" w14:textId="77777777" w:rsidR="00DD4641" w:rsidRDefault="00000000">
    <w:pPr>
      <w:pStyle w:val="afff1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1"/>
    <w:rsid w:val="00614A82"/>
    <w:rsid w:val="00D67E33"/>
    <w:rsid w:val="00D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8CE"/>
  <w15:docId w15:val="{1CE45283-22AF-4E1B-83F6-93AB0409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5039334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priemnaya</dc:creator>
  <dc:description/>
  <cp:lastModifiedBy>priemnaya</cp:lastModifiedBy>
  <cp:revision>2</cp:revision>
  <dcterms:created xsi:type="dcterms:W3CDTF">2024-07-11T03:38:00Z</dcterms:created>
  <dcterms:modified xsi:type="dcterms:W3CDTF">2024-07-11T03:38:00Z</dcterms:modified>
  <dc:language>ru-RU</dc:language>
</cp:coreProperties>
</file>