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1C81" w14:textId="77777777" w:rsidR="007525AF" w:rsidRPr="007525AF" w:rsidRDefault="007525AF" w:rsidP="007525A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</w:pPr>
      <w:r w:rsidRPr="007525AF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>ПАМЯТКА разъяснения для садоводческих, огороднических или дачных некоммерческих объединений граждан по вопросу правильности применения тарифов на электрическую энергию при распределении платы между членами товариществ</w:t>
      </w:r>
    </w:p>
    <w:p w14:paraId="3E9B7BD2" w14:textId="77777777" w:rsidR="007525AF" w:rsidRPr="007525AF" w:rsidRDefault="007525AF" w:rsidP="007525A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  <w:t>Согласно статье 23.1 Федерального закона от 26.03.2003 № 35-ФЗ «Об электроэнергетике» (далее – Федеральный закон № 35-ФЗ) органы исполнительной власти субъектов Российской Федерации в области государственного регулирования тарифов устанавливают цены (тарифы) на электрическую энергию (мощность), поставляемую покупателям на розничных рынках, в том числе населению и приравненным к нему категориям потребителей.</w:t>
      </w:r>
    </w:p>
    <w:p w14:paraId="6DEA03F9" w14:textId="77777777" w:rsidR="007525AF" w:rsidRPr="007525AF" w:rsidRDefault="007525AF" w:rsidP="007525A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Приложением № 1 к Основам ценообразования в области регулируемых цен (тарифов) в электроэнергетике, утвержденным постановлением Правительства Российской Федерации от 29.12.2011 № 1178 «О ценообразовании в области регулируемых цен (тарифов) в электроэнергетике» (далее – Приложение № 1 Постановления № 1178), в отношении объемов потребления электрической энергии, используемых на коммунально-бытовые нужды и не используемых для осуществления коммерческой (профессиональной) деятельности определен перечень категорий потребителей, которые приравнены к населению и которым электрическая энергия (мощность) поставляется по регулируемым ценам (тарифам).</w:t>
      </w:r>
    </w:p>
    <w:p w14:paraId="45A75BBF" w14:textId="77777777" w:rsidR="007525AF" w:rsidRPr="007525AF" w:rsidRDefault="007525AF" w:rsidP="007525A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Согласно пункту 2 Приложения № 1 Постановления № 1178, садоводческие, огороднические или дачные некоммерческие объединения граждан (далее – СНО) включены в перечень категорий потребителей, которым электрическая энергия (мощность) поставляется по регулируемым ценам (тарифам).</w:t>
      </w:r>
    </w:p>
    <w:p w14:paraId="407784A1" w14:textId="77777777" w:rsidR="007525AF" w:rsidRPr="007525AF" w:rsidRDefault="007525AF" w:rsidP="007525A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Учитывая согласованную политику в сфере государственного регулирования тарифов на электрическую энергию на территории Тюменского региона, осуществляемую в соответствии с договором между органами государственной власти Тюменской области, Ханты-Мансийского автономного округа – Югры и Ямало-Ненецкого автономного округа, тарифы на электрическую энергию на территории Ханты-Мансийского автономного округа – Югры в ценовой зоне оптового рынка, устанавливаются Региональной энергетической комиссией Тюменской области, Ханты-Мансийского автономного округа – Югры, Ямало-Ненецкого автономного округа (далее – РЭК), в том числе для населения и приравненным к нему категориям потребителей.</w:t>
      </w:r>
    </w:p>
    <w:p w14:paraId="4427F0F3" w14:textId="77777777" w:rsidR="007525AF" w:rsidRPr="007525AF" w:rsidRDefault="007525AF" w:rsidP="007525A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lastRenderedPageBreak/>
        <w:t>Распоряжением РЭК от 19.12.2014 № 103 установлены цены (тарифы) на электрическую энергию для населения и приравненным к нему категориям потребителей на территории Ханты-Мансийского автономного округа – Югры, в том числе для садоводческих, огороднических или дачных некоммерческих объединений граждан - некоммерческих организаций, учрежденных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 (п. 4.1 распоряжения РЭК от 19.12.2014 № 103).</w:t>
      </w:r>
    </w:p>
    <w:p w14:paraId="4B5379A9" w14:textId="6AAF9332" w:rsidR="007525AF" w:rsidRPr="007525AF" w:rsidRDefault="007525AF" w:rsidP="007525A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В случае, если гарантирующим поставщиком (энергоснабжающей организацией) заключен договор энергоснабжения с юридическим лицом – СНО, то размер платы за потребленную электрическую энергию </w:t>
      </w:r>
      <w:proofErr w:type="spellStart"/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Р_ij</w:t>
      </w:r>
      <w:proofErr w:type="spellEnd"/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^(итог.) (далее – Плата) должен определяться исходя из показаний общего прибора учета электрической энергии, установленного на границе балансовой принадлежности электросетевого хозяйства СНО за соответствующий месяц по формуле: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</w:r>
      <w:r w:rsidRPr="007525AF">
        <w:rPr>
          <w:rFonts w:ascii="Montserrat" w:eastAsia="Times New Roman" w:hAnsi="Montserrat" w:cs="Times New Roman"/>
          <w:noProof/>
          <w:color w:val="27335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B88D6AF" wp14:editId="67BD77F3">
            <wp:extent cx="5940425" cy="354965"/>
            <wp:effectExtent l="0" t="0" r="3175" b="6985"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где: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  <w:t>i – потребитель электрической энергии (Садовод);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  <w:t>j - соответствующий расчетный месяц;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Р_ij</w:t>
      </w:r>
      <w:proofErr w:type="spellEnd"/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^(инд.) - размер индивидуальной Платы, определяемой по формуле: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</w:r>
      <w:r w:rsidRPr="007525AF">
        <w:rPr>
          <w:rFonts w:ascii="Montserrat" w:eastAsia="Times New Roman" w:hAnsi="Montserrat" w:cs="Times New Roman"/>
          <w:noProof/>
          <w:color w:val="27335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BA0BED4" wp14:editId="75134CA6">
            <wp:extent cx="5940425" cy="372110"/>
            <wp:effectExtent l="0" t="0" r="3175" b="8890"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  <w:t>где: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  <w:t>Т^РЭК - тариф (цена) на электроэнергию, установленный решением РЭК в отношении садоводческих, огороднических или дачных некоммерческих объединений граждан;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V_ij</w:t>
      </w:r>
      <w:proofErr w:type="spellEnd"/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^(инд.) - объем потребленной электрической энергии на бытовые нужды на участке i-го Садовода за расчетный период, определенный по показаниям индивидуального прибора учета, а при его отсутствии из нормативов потребления.</w:t>
      </w:r>
    </w:p>
    <w:p w14:paraId="5C6F2B00" w14:textId="242CC8C7" w:rsidR="007525AF" w:rsidRPr="007525AF" w:rsidRDefault="007525AF" w:rsidP="007525A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Необходимо отметить, что при начислении Платы членам СНО за используемую электрическую энергию по индивидуальным приборам учета (для личных нужд) должны применяться тарифы с учетом типа установленного прибора учета электроэнергии (</w:t>
      </w:r>
      <w:proofErr w:type="spellStart"/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одноставочный</w:t>
      </w:r>
      <w:proofErr w:type="spellEnd"/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тариф или </w:t>
      </w:r>
      <w:proofErr w:type="spellStart"/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одноставочный</w:t>
      </w:r>
      <w:proofErr w:type="spellEnd"/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тариф, дифференцированный по двум зонам суток или </w:t>
      </w:r>
      <w:proofErr w:type="spellStart"/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одноставочный</w:t>
      </w:r>
      <w:proofErr w:type="spellEnd"/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тариф, дифференцированный по трем зонам суток), уровень которых соответствует тарифам, установленным решениями РЭК по группе «для садоводческих, огороднических или дачных некоммерческих объединений граждан», с учетом типа установленного прибора учета электроэнергии.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Р_ij</w:t>
      </w:r>
      <w:proofErr w:type="spellEnd"/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^(доп.) - размер дополнительной Платы, необходимый на покрытие 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lastRenderedPageBreak/>
        <w:t>дополнительных расходов, связанных с технологическими потерями в электросетевом хозяйстве, уличным освещением мест общего пользования, и другими нуждами Садоводов (с учетом использования более чем 1 Садоводом) рассчитывается по формуле: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</w:r>
      <w:r w:rsidRPr="007525AF">
        <w:rPr>
          <w:rFonts w:ascii="Montserrat" w:eastAsia="Times New Roman" w:hAnsi="Montserrat" w:cs="Times New Roman"/>
          <w:noProof/>
          <w:color w:val="27335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0C5C141" wp14:editId="69CACD24">
            <wp:extent cx="5940425" cy="374015"/>
            <wp:effectExtent l="0" t="0" r="3175" b="6985"/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  <w:t>где: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V_ij</w:t>
      </w:r>
      <w:proofErr w:type="spellEnd"/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^(доп.) – дополнительный объем электрической энергии, определяемый в случае, если объем электрической энергии, предъявленный к оплате энергоснабжающей организацией, по показаниям общего прибора учета превышает суммарный объем потребленной электрической энергии Садоводами за расчетный период, определенный по показаниям индивидуальных приборов учета или нормативу.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  <w:t>Дополнительный общий объем электроэнергии, подлежащий к распределению i-</w:t>
      </w:r>
      <w:proofErr w:type="spellStart"/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му</w:t>
      </w:r>
      <w:proofErr w:type="spellEnd"/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Садоводу, по формуле: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</w:r>
      <w:r w:rsidRPr="007525AF">
        <w:rPr>
          <w:rFonts w:ascii="Montserrat" w:eastAsia="Times New Roman" w:hAnsi="Montserrat" w:cs="Times New Roman"/>
          <w:noProof/>
          <w:color w:val="27335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D93A65F" wp14:editId="2D7A170A">
            <wp:extent cx="5940425" cy="339725"/>
            <wp:effectExtent l="0" t="0" r="3175" b="3175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где,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  <w:t>К – коэффициент, учитывающий принцип распределения дополнительного объема электроэнергии между Садоводами, который определяется Общим собранием членов СНО (собрание уполномоченных) на основании статьи 21 Федерального закона от 15.04.1998 № 66-ФЗ «О садоводческих, огороднических и дачных некоммерческих объединениях граждан» При этом в качестве принципов распределения дополнительного объема электроэнергии между Садоводами возможно рассмотреть следующие варианты: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  <w:t>пропорционально объему потребления электрической энергии на участке i-го Садовода;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  <w:t>пропорционально объему присоединенной мощности на участке i-го Садовода;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  <w:t>пропорционально площади земельного участка i-го Садовода;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  <w:t>и другие.</w:t>
      </w:r>
    </w:p>
    <w:p w14:paraId="2FD17A57" w14:textId="5D600167" w:rsidR="007525AF" w:rsidRPr="007525AF" w:rsidRDefault="007525AF" w:rsidP="007525A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V_(j общ.)^(доп.) - дополнительный общий объем электроэнергии, подлежащий к распределению среди Садоводов, рассчитывается по формуле: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</w:r>
      <w:r w:rsidRPr="007525AF">
        <w:rPr>
          <w:rFonts w:ascii="Montserrat" w:eastAsia="Times New Roman" w:hAnsi="Montserrat" w:cs="Times New Roman"/>
          <w:noProof/>
          <w:color w:val="27335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462301F" wp14:editId="150AE0D5">
            <wp:extent cx="5940425" cy="628650"/>
            <wp:effectExtent l="0" t="0" r="3175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где,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V_j</w:t>
      </w:r>
      <w:proofErr w:type="spellEnd"/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^(общ.)- объем потребленной электрической энергии СНО за расчетный период, определенный по показаниям общего прибора учета;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  <w:t>∑</w:t>
      </w:r>
      <w:r w:rsidRPr="007525A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  <w14:ligatures w14:val="none"/>
        </w:rPr>
        <w:t>▒</w:t>
      </w:r>
      <w:proofErr w:type="spellStart"/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V_ij</w:t>
      </w:r>
      <w:proofErr w:type="spellEnd"/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^(</w:t>
      </w:r>
      <w:r w:rsidRPr="007525AF">
        <w:rPr>
          <w:rFonts w:ascii="Montserrat" w:eastAsia="Times New Roman" w:hAnsi="Montserrat" w:cs="Montserrat"/>
          <w:color w:val="273350"/>
          <w:kern w:val="0"/>
          <w:sz w:val="24"/>
          <w:szCs w:val="24"/>
          <w:lang w:eastAsia="ru-RU"/>
          <w14:ligatures w14:val="none"/>
        </w:rPr>
        <w:t>инд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.) - </w:t>
      </w:r>
      <w:r w:rsidRPr="007525AF">
        <w:rPr>
          <w:rFonts w:ascii="Montserrat" w:eastAsia="Times New Roman" w:hAnsi="Montserrat" w:cs="Montserrat"/>
          <w:color w:val="273350"/>
          <w:kern w:val="0"/>
          <w:sz w:val="24"/>
          <w:szCs w:val="24"/>
          <w:lang w:eastAsia="ru-RU"/>
          <w14:ligatures w14:val="none"/>
        </w:rPr>
        <w:t>суммарный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</w:t>
      </w:r>
      <w:r w:rsidRPr="007525AF">
        <w:rPr>
          <w:rFonts w:ascii="Montserrat" w:eastAsia="Times New Roman" w:hAnsi="Montserrat" w:cs="Montserrat"/>
          <w:color w:val="273350"/>
          <w:kern w:val="0"/>
          <w:sz w:val="24"/>
          <w:szCs w:val="24"/>
          <w:lang w:eastAsia="ru-RU"/>
          <w14:ligatures w14:val="none"/>
        </w:rPr>
        <w:t>объем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</w:t>
      </w:r>
      <w:r w:rsidRPr="007525AF">
        <w:rPr>
          <w:rFonts w:ascii="Montserrat" w:eastAsia="Times New Roman" w:hAnsi="Montserrat" w:cs="Montserrat"/>
          <w:color w:val="273350"/>
          <w:kern w:val="0"/>
          <w:sz w:val="24"/>
          <w:szCs w:val="24"/>
          <w:lang w:eastAsia="ru-RU"/>
          <w14:ligatures w14:val="none"/>
        </w:rPr>
        <w:t>потребленной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</w:t>
      </w:r>
      <w:r w:rsidRPr="007525AF">
        <w:rPr>
          <w:rFonts w:ascii="Montserrat" w:eastAsia="Times New Roman" w:hAnsi="Montserrat" w:cs="Montserrat"/>
          <w:color w:val="273350"/>
          <w:kern w:val="0"/>
          <w:sz w:val="24"/>
          <w:szCs w:val="24"/>
          <w:lang w:eastAsia="ru-RU"/>
          <w14:ligatures w14:val="none"/>
        </w:rPr>
        <w:t>электрической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</w:t>
      </w:r>
      <w:r w:rsidRPr="007525AF">
        <w:rPr>
          <w:rFonts w:ascii="Montserrat" w:eastAsia="Times New Roman" w:hAnsi="Montserrat" w:cs="Montserrat"/>
          <w:color w:val="273350"/>
          <w:kern w:val="0"/>
          <w:sz w:val="24"/>
          <w:szCs w:val="24"/>
          <w:lang w:eastAsia="ru-RU"/>
          <w14:ligatures w14:val="none"/>
        </w:rPr>
        <w:t>энергии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</w:t>
      </w:r>
      <w:r w:rsidRPr="007525AF">
        <w:rPr>
          <w:rFonts w:ascii="Montserrat" w:eastAsia="Times New Roman" w:hAnsi="Montserrat" w:cs="Montserrat"/>
          <w:color w:val="273350"/>
          <w:kern w:val="0"/>
          <w:sz w:val="24"/>
          <w:szCs w:val="24"/>
          <w:lang w:eastAsia="ru-RU"/>
          <w14:ligatures w14:val="none"/>
        </w:rPr>
        <w:t>Садоводами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</w:t>
      </w:r>
      <w:r w:rsidRPr="007525AF">
        <w:rPr>
          <w:rFonts w:ascii="Montserrat" w:eastAsia="Times New Roman" w:hAnsi="Montserrat" w:cs="Montserrat"/>
          <w:color w:val="273350"/>
          <w:kern w:val="0"/>
          <w:sz w:val="24"/>
          <w:szCs w:val="24"/>
          <w:lang w:eastAsia="ru-RU"/>
          <w14:ligatures w14:val="none"/>
        </w:rPr>
        <w:t>за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</w:t>
      </w:r>
      <w:r w:rsidRPr="007525AF">
        <w:rPr>
          <w:rFonts w:ascii="Montserrat" w:eastAsia="Times New Roman" w:hAnsi="Montserrat" w:cs="Montserrat"/>
          <w:color w:val="273350"/>
          <w:kern w:val="0"/>
          <w:sz w:val="24"/>
          <w:szCs w:val="24"/>
          <w:lang w:eastAsia="ru-RU"/>
          <w14:ligatures w14:val="none"/>
        </w:rPr>
        <w:t>расчетный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</w:t>
      </w:r>
      <w:r w:rsidRPr="007525AF">
        <w:rPr>
          <w:rFonts w:ascii="Montserrat" w:eastAsia="Times New Roman" w:hAnsi="Montserrat" w:cs="Montserrat"/>
          <w:color w:val="273350"/>
          <w:kern w:val="0"/>
          <w:sz w:val="24"/>
          <w:szCs w:val="24"/>
          <w:lang w:eastAsia="ru-RU"/>
          <w14:ligatures w14:val="none"/>
        </w:rPr>
        <w:t>пери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од, определенный по показаниям 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lastRenderedPageBreak/>
        <w:t>индивидуальных приборов учета;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  <w:t>∑</w:t>
      </w:r>
      <w:r w:rsidRPr="007525A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  <w14:ligatures w14:val="none"/>
        </w:rPr>
        <w:t>▒</w:t>
      </w:r>
      <w:proofErr w:type="spellStart"/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V_ij</w:t>
      </w:r>
      <w:proofErr w:type="spellEnd"/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^(</w:t>
      </w:r>
      <w:r w:rsidRPr="007525AF">
        <w:rPr>
          <w:rFonts w:ascii="Montserrat" w:eastAsia="Times New Roman" w:hAnsi="Montserrat" w:cs="Montserrat"/>
          <w:color w:val="273350"/>
          <w:kern w:val="0"/>
          <w:sz w:val="24"/>
          <w:szCs w:val="24"/>
          <w:lang w:eastAsia="ru-RU"/>
          <w14:ligatures w14:val="none"/>
        </w:rPr>
        <w:t>норм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.) - </w:t>
      </w:r>
      <w:r w:rsidRPr="007525AF">
        <w:rPr>
          <w:rFonts w:ascii="Montserrat" w:eastAsia="Times New Roman" w:hAnsi="Montserrat" w:cs="Montserrat"/>
          <w:color w:val="273350"/>
          <w:kern w:val="0"/>
          <w:sz w:val="24"/>
          <w:szCs w:val="24"/>
          <w:lang w:eastAsia="ru-RU"/>
          <w14:ligatures w14:val="none"/>
        </w:rPr>
        <w:t>суммарный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</w:t>
      </w:r>
      <w:r w:rsidRPr="007525AF">
        <w:rPr>
          <w:rFonts w:ascii="Montserrat" w:eastAsia="Times New Roman" w:hAnsi="Montserrat" w:cs="Montserrat"/>
          <w:color w:val="273350"/>
          <w:kern w:val="0"/>
          <w:sz w:val="24"/>
          <w:szCs w:val="24"/>
          <w:lang w:eastAsia="ru-RU"/>
          <w14:ligatures w14:val="none"/>
        </w:rPr>
        <w:t>объем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</w:t>
      </w:r>
      <w:r w:rsidRPr="007525AF">
        <w:rPr>
          <w:rFonts w:ascii="Montserrat" w:eastAsia="Times New Roman" w:hAnsi="Montserrat" w:cs="Montserrat"/>
          <w:color w:val="273350"/>
          <w:kern w:val="0"/>
          <w:sz w:val="24"/>
          <w:szCs w:val="24"/>
          <w:lang w:eastAsia="ru-RU"/>
          <w14:ligatures w14:val="none"/>
        </w:rPr>
        <w:t>потребленной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</w:t>
      </w:r>
      <w:r w:rsidRPr="007525AF">
        <w:rPr>
          <w:rFonts w:ascii="Montserrat" w:eastAsia="Times New Roman" w:hAnsi="Montserrat" w:cs="Montserrat"/>
          <w:color w:val="273350"/>
          <w:kern w:val="0"/>
          <w:sz w:val="24"/>
          <w:szCs w:val="24"/>
          <w:lang w:eastAsia="ru-RU"/>
          <w14:ligatures w14:val="none"/>
        </w:rPr>
        <w:t>электрической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</w:t>
      </w:r>
      <w:r w:rsidRPr="007525AF">
        <w:rPr>
          <w:rFonts w:ascii="Montserrat" w:eastAsia="Times New Roman" w:hAnsi="Montserrat" w:cs="Montserrat"/>
          <w:color w:val="273350"/>
          <w:kern w:val="0"/>
          <w:sz w:val="24"/>
          <w:szCs w:val="24"/>
          <w:lang w:eastAsia="ru-RU"/>
          <w14:ligatures w14:val="none"/>
        </w:rPr>
        <w:t>энергии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</w:t>
      </w:r>
      <w:r w:rsidRPr="007525AF">
        <w:rPr>
          <w:rFonts w:ascii="Montserrat" w:eastAsia="Times New Roman" w:hAnsi="Montserrat" w:cs="Montserrat"/>
          <w:color w:val="273350"/>
          <w:kern w:val="0"/>
          <w:sz w:val="24"/>
          <w:szCs w:val="24"/>
          <w:lang w:eastAsia="ru-RU"/>
          <w14:ligatures w14:val="none"/>
        </w:rPr>
        <w:t>Садоводами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</w:t>
      </w:r>
      <w:r w:rsidRPr="007525AF">
        <w:rPr>
          <w:rFonts w:ascii="Montserrat" w:eastAsia="Times New Roman" w:hAnsi="Montserrat" w:cs="Montserrat"/>
          <w:color w:val="273350"/>
          <w:kern w:val="0"/>
          <w:sz w:val="24"/>
          <w:szCs w:val="24"/>
          <w:lang w:eastAsia="ru-RU"/>
          <w14:ligatures w14:val="none"/>
        </w:rPr>
        <w:t>за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</w:t>
      </w:r>
      <w:r w:rsidRPr="007525AF">
        <w:rPr>
          <w:rFonts w:ascii="Montserrat" w:eastAsia="Times New Roman" w:hAnsi="Montserrat" w:cs="Montserrat"/>
          <w:color w:val="273350"/>
          <w:kern w:val="0"/>
          <w:sz w:val="24"/>
          <w:szCs w:val="24"/>
          <w:lang w:eastAsia="ru-RU"/>
          <w14:ligatures w14:val="none"/>
        </w:rPr>
        <w:t>расчетный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</w:t>
      </w:r>
      <w:r w:rsidRPr="007525AF">
        <w:rPr>
          <w:rFonts w:ascii="Montserrat" w:eastAsia="Times New Roman" w:hAnsi="Montserrat" w:cs="Montserrat"/>
          <w:color w:val="273350"/>
          <w:kern w:val="0"/>
          <w:sz w:val="24"/>
          <w:szCs w:val="24"/>
          <w:lang w:eastAsia="ru-RU"/>
          <w14:ligatures w14:val="none"/>
        </w:rPr>
        <w:t>период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, </w:t>
      </w:r>
      <w:r w:rsidRPr="007525AF">
        <w:rPr>
          <w:rFonts w:ascii="Montserrat" w:eastAsia="Times New Roman" w:hAnsi="Montserrat" w:cs="Montserrat"/>
          <w:color w:val="273350"/>
          <w:kern w:val="0"/>
          <w:sz w:val="24"/>
          <w:szCs w:val="24"/>
          <w:lang w:eastAsia="ru-RU"/>
          <w14:ligatures w14:val="none"/>
        </w:rPr>
        <w:t>определенный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</w:t>
      </w:r>
      <w:r w:rsidRPr="007525AF">
        <w:rPr>
          <w:rFonts w:ascii="Montserrat" w:eastAsia="Times New Roman" w:hAnsi="Montserrat" w:cs="Montserrat"/>
          <w:color w:val="273350"/>
          <w:kern w:val="0"/>
          <w:sz w:val="24"/>
          <w:szCs w:val="24"/>
          <w:lang w:eastAsia="ru-RU"/>
          <w14:ligatures w14:val="none"/>
        </w:rPr>
        <w:t>по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</w:t>
      </w:r>
      <w:r w:rsidRPr="007525AF">
        <w:rPr>
          <w:rFonts w:ascii="Montserrat" w:eastAsia="Times New Roman" w:hAnsi="Montserrat" w:cs="Montserrat"/>
          <w:color w:val="273350"/>
          <w:kern w:val="0"/>
          <w:sz w:val="24"/>
          <w:szCs w:val="24"/>
          <w:lang w:eastAsia="ru-RU"/>
          <w14:ligatures w14:val="none"/>
        </w:rPr>
        <w:t>нормативу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;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  <w:t xml:space="preserve">N - </w:t>
      </w:r>
      <w:r w:rsidRPr="007525AF">
        <w:rPr>
          <w:rFonts w:ascii="Montserrat" w:eastAsia="Times New Roman" w:hAnsi="Montserrat" w:cs="Montserrat"/>
          <w:color w:val="273350"/>
          <w:kern w:val="0"/>
          <w:sz w:val="24"/>
          <w:szCs w:val="24"/>
          <w:lang w:eastAsia="ru-RU"/>
          <w14:ligatures w14:val="none"/>
        </w:rPr>
        <w:t>количество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</w:t>
      </w:r>
      <w:r w:rsidRPr="007525AF">
        <w:rPr>
          <w:rFonts w:ascii="Montserrat" w:eastAsia="Times New Roman" w:hAnsi="Montserrat" w:cs="Montserrat"/>
          <w:color w:val="273350"/>
          <w:kern w:val="0"/>
          <w:sz w:val="24"/>
          <w:szCs w:val="24"/>
          <w:lang w:eastAsia="ru-RU"/>
          <w14:ligatures w14:val="none"/>
        </w:rPr>
        <w:t>садоводов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, </w:t>
      </w:r>
      <w:r w:rsidRPr="007525AF">
        <w:rPr>
          <w:rFonts w:ascii="Montserrat" w:eastAsia="Times New Roman" w:hAnsi="Montserrat" w:cs="Montserrat"/>
          <w:color w:val="273350"/>
          <w:kern w:val="0"/>
          <w:sz w:val="24"/>
          <w:szCs w:val="24"/>
          <w:lang w:eastAsia="ru-RU"/>
          <w14:ligatures w14:val="none"/>
        </w:rPr>
        <w:t>рассчитывающихся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</w:t>
      </w:r>
      <w:r w:rsidRPr="007525AF">
        <w:rPr>
          <w:rFonts w:ascii="Montserrat" w:eastAsia="Times New Roman" w:hAnsi="Montserrat" w:cs="Montserrat"/>
          <w:color w:val="273350"/>
          <w:kern w:val="0"/>
          <w:sz w:val="24"/>
          <w:szCs w:val="24"/>
          <w:lang w:eastAsia="ru-RU"/>
          <w14:ligatures w14:val="none"/>
        </w:rPr>
        <w:t>за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</w:t>
      </w:r>
      <w:r w:rsidRPr="007525AF">
        <w:rPr>
          <w:rFonts w:ascii="Montserrat" w:eastAsia="Times New Roman" w:hAnsi="Montserrat" w:cs="Montserrat"/>
          <w:color w:val="273350"/>
          <w:kern w:val="0"/>
          <w:sz w:val="24"/>
          <w:szCs w:val="24"/>
          <w:lang w:eastAsia="ru-RU"/>
          <w14:ligatures w14:val="none"/>
        </w:rPr>
        <w:t>потребленную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</w:t>
      </w:r>
      <w:r w:rsidRPr="007525AF">
        <w:rPr>
          <w:rFonts w:ascii="Montserrat" w:eastAsia="Times New Roman" w:hAnsi="Montserrat" w:cs="Montserrat"/>
          <w:color w:val="273350"/>
          <w:kern w:val="0"/>
          <w:sz w:val="24"/>
          <w:szCs w:val="24"/>
          <w:lang w:eastAsia="ru-RU"/>
          <w14:ligatures w14:val="none"/>
        </w:rPr>
        <w:t>электрич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ескую энергию по приборам учета;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  <w:t>R - количество садоводов, рассчитывающихся за потребленную электрическую энергию по нормативам.</w:t>
      </w:r>
    </w:p>
    <w:p w14:paraId="124F1F32" w14:textId="77777777" w:rsidR="007525AF" w:rsidRPr="007525AF" w:rsidRDefault="007525AF" w:rsidP="007525A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В соответствии с Федеральным законом № 66-ФЗ расходы СНО на содержание и обслуживание принадлежащих СНО электросетевого оборудования относятся к текущим расходам и должны оплачиваться за счет членских взносов Садоводов, размер которых устанавливается решением общего собрания членов СНО. В связи с чем, данные расходы не должны включать в расчет платы за потребленную электрическую энергию.</w:t>
      </w:r>
    </w:p>
    <w:p w14:paraId="006C6E80" w14:textId="77777777" w:rsidR="007525AF" w:rsidRPr="007525AF" w:rsidRDefault="007525AF" w:rsidP="007525A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В соответствии с постановлением Правительства Российской Федерации от 27.06.2013 № 543 «О государственном контроле (надзоре) в области регулируемых государством цен (тарифов), а также изменении и признании утратившими силу некоторых актов Правительства Российской Федерации», постановлением Правительства Ханты-Мансийского автономного округа – Югры от 17.01.2014 № 14-п «О порядке организации и осуществления регионального государственного контроля (надзора) в области регулируемых государством цен (тарифов) на территории Ханты-Мансийского автономного округа – Югры» органы исполнительной власти в области государственного регулирования цен (тарифов) осуществляет региональный государственный </w:t>
      </w:r>
      <w:r w:rsidRPr="007525AF">
        <w:rPr>
          <w:rFonts w:ascii="Montserrat" w:eastAsia="Times New Roman" w:hAnsi="Montserrat" w:cs="Times New Roman"/>
          <w:b/>
          <w:bCs/>
          <w:color w:val="273350"/>
          <w:kern w:val="0"/>
          <w:sz w:val="24"/>
          <w:szCs w:val="24"/>
          <w:lang w:eastAsia="ru-RU"/>
          <w14:ligatures w14:val="none"/>
        </w:rPr>
        <w:t>контроль (надзор) за соблюдением субъектами электроэнергетики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 в процессе осуществления деятельности требований, установленных Федеральным законом № 35-ФЗ, другими федеральными законами и иными нормативными правовыми актами Российской Федерации в сфере электроэнергетики, правильности применения указанными субъектами регулируемых государством цен (тарифов) в электроэнергетике.</w:t>
      </w:r>
    </w:p>
    <w:p w14:paraId="5AD7D3DA" w14:textId="77777777" w:rsidR="007525AF" w:rsidRPr="007525AF" w:rsidRDefault="007525AF" w:rsidP="007525A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Согласно ст. 3 Федерального закона № 35-ФЗ, </w:t>
      </w:r>
      <w:r w:rsidRPr="007525AF">
        <w:rPr>
          <w:rFonts w:ascii="Montserrat" w:eastAsia="Times New Roman" w:hAnsi="Montserrat" w:cs="Times New Roman"/>
          <w:b/>
          <w:bCs/>
          <w:color w:val="273350"/>
          <w:kern w:val="0"/>
          <w:sz w:val="24"/>
          <w:szCs w:val="24"/>
          <w:lang w:eastAsia="ru-RU"/>
          <w14:ligatures w14:val="none"/>
        </w:rPr>
        <w:t>субъектами электроэнергетики</w:t>
      </w: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 являются лица, осуществляющие деятельность в сфере электроэнергетики, в том числе производство электрической, тепловой энергии и мощности, приобретение и продажу электрической энергии и мощности, энергоснабжение потребителей, оказание услуг по передаче электрической энергии, оперативно-диспетчерскому управлению в электроэнергетике, сбыт электрической энергии (мощности), организацию купли-продажи электрической энергии и мощности.</w:t>
      </w:r>
    </w:p>
    <w:p w14:paraId="24E74A9C" w14:textId="77777777" w:rsidR="007525AF" w:rsidRPr="007525AF" w:rsidRDefault="007525AF" w:rsidP="007525A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lastRenderedPageBreak/>
        <w:t>Садоводческие, огороднические или дачные некоммерческие объединения граждан не относятся к субъектам электроэнергетики, а подпадают под понятие потребители электрической энергии, под которыми понимаются лица, приобретающие электрическую энергию для собственных бытовых и (или) производственных нужд (ст. 3 Федерального закона № 35-ФЗ).</w:t>
      </w:r>
    </w:p>
    <w:p w14:paraId="5825FDA4" w14:textId="77777777" w:rsidR="007525AF" w:rsidRPr="007525AF" w:rsidRDefault="007525AF" w:rsidP="007525A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Рассмотрение споров между членами садоводческих, огороднических или дачных некоммерческих объединений граждан в соответствии с Обзором судебной практики по вопросам, возникающим при рассмотрении дел, связанных с садоводческими, огородническими и дачными некоммерческими объединениями, за 2010 - 2013 год, утвержденным 02.07.2014 Президиумом Верховного Суда Российской Федерации, отнесено к компетенции судов общей юрисдикции.</w:t>
      </w:r>
    </w:p>
    <w:p w14:paraId="4480548B" w14:textId="77777777" w:rsidR="007525AF" w:rsidRPr="007525AF" w:rsidRDefault="007525AF" w:rsidP="007525A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7525AF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При этом согласно статье 47 Гражданского процессуального кодекса Российской Федерации, для установления судом обстоятельств, имеющих значение, для рассмотрения и правильного разрешения гражданского дела, Садоводы вправе для предоставления соответствующего заключения привлечь орган исполнительной власти в области государственного регулирования цен (тарифов).</w:t>
      </w:r>
    </w:p>
    <w:p w14:paraId="349C3CFE" w14:textId="77777777" w:rsidR="00B2743D" w:rsidRDefault="00B2743D"/>
    <w:sectPr w:rsidR="00B2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25"/>
    <w:rsid w:val="007525AF"/>
    <w:rsid w:val="007D4779"/>
    <w:rsid w:val="00A83DD3"/>
    <w:rsid w:val="00B2743D"/>
    <w:rsid w:val="00DB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1D8E"/>
  <w15:chartTrackingRefBased/>
  <w15:docId w15:val="{EA5D062B-1EC7-4D3B-8547-D8E25734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25AF"/>
    <w:rPr>
      <w:b/>
      <w:bCs/>
    </w:rPr>
  </w:style>
  <w:style w:type="paragraph" w:styleId="a4">
    <w:name w:val="Normal (Web)"/>
    <w:basedOn w:val="a"/>
    <w:uiPriority w:val="99"/>
    <w:semiHidden/>
    <w:unhideWhenUsed/>
    <w:rsid w:val="0075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1442</Words>
  <Characters>8222</Characters>
  <Application>Microsoft Office Word</Application>
  <DocSecurity>0</DocSecurity>
  <Lines>68</Lines>
  <Paragraphs>19</Paragraphs>
  <ScaleCrop>false</ScaleCrop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Григоренко</dc:creator>
  <cp:keywords/>
  <dc:description/>
  <cp:lastModifiedBy>Дарья Григоренко</cp:lastModifiedBy>
  <cp:revision>2</cp:revision>
  <dcterms:created xsi:type="dcterms:W3CDTF">2024-10-10T08:00:00Z</dcterms:created>
  <dcterms:modified xsi:type="dcterms:W3CDTF">2024-10-10T08:00:00Z</dcterms:modified>
</cp:coreProperties>
</file>